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0" w:firstLine="0"/>
        <w:jc w:val="center"/>
        <w:rPr>
          <w:rFonts w:ascii="Playfair Display" w:cs="Playfair Display" w:eastAsia="Playfair Display" w:hAnsi="Playfair Display"/>
          <w:sz w:val="34"/>
          <w:szCs w:val="34"/>
        </w:rPr>
      </w:pPr>
      <w:r w:rsidDel="00000000" w:rsidR="00000000" w:rsidRPr="00000000">
        <w:rPr>
          <w:rFonts w:ascii="Playfair Display" w:cs="Playfair Display" w:eastAsia="Playfair Display" w:hAnsi="Playfair Display"/>
          <w:sz w:val="34"/>
          <w:szCs w:val="34"/>
          <w:rtl w:val="0"/>
        </w:rPr>
        <w:t xml:space="preserve">Tom Boothe Adirondack Internship Sub-Project Proposal Form</w:t>
      </w:r>
    </w:p>
    <w:p w:rsidR="00000000" w:rsidDel="00000000" w:rsidP="00000000" w:rsidRDefault="00000000" w:rsidRPr="00000000" w14:paraId="00000002">
      <w:pPr>
        <w:spacing w:line="240" w:lineRule="auto"/>
        <w:ind w:left="180" w:firstLine="0"/>
        <w:rPr>
          <w:i w:val="1"/>
          <w:sz w:val="24"/>
          <w:szCs w:val="24"/>
        </w:rPr>
      </w:pPr>
      <w:r w:rsidDel="00000000" w:rsidR="00000000" w:rsidRPr="00000000">
        <w:rPr>
          <w:i w:val="1"/>
          <w:sz w:val="24"/>
          <w:szCs w:val="24"/>
          <w:rtl w:val="0"/>
        </w:rPr>
        <w:t xml:space="preserve">AdkAction was founded on the principle that a small number of passionate people can make a big difference. Applicants to the internship program are invited to propose a sub-project that they would then be empowered to implement if chosen for the internship. Please think critically about the type of impact you would like to make during the internship and propose a sub-project that can be completed in roughly 10 weeks or less. Please address the following questions in a one-page sub-project proposal. </w:t>
      </w:r>
    </w:p>
    <w:p w:rsidR="00000000" w:rsidDel="00000000" w:rsidP="00000000" w:rsidRDefault="00000000" w:rsidRPr="00000000" w14:paraId="00000003">
      <w:pPr>
        <w:spacing w:line="240" w:lineRule="auto"/>
        <w:ind w:left="180" w:firstLine="0"/>
        <w:rPr>
          <w:i w:val="1"/>
          <w:sz w:val="24"/>
          <w:szCs w:val="24"/>
        </w:rPr>
      </w:pPr>
      <w:r w:rsidDel="00000000" w:rsidR="00000000" w:rsidRPr="00000000">
        <w:rPr>
          <w:rtl w:val="0"/>
        </w:rPr>
      </w:r>
    </w:p>
    <w:p w:rsidR="00000000" w:rsidDel="00000000" w:rsidP="00000000" w:rsidRDefault="00000000" w:rsidRPr="00000000" w14:paraId="00000004">
      <w:pPr>
        <w:spacing w:line="240" w:lineRule="auto"/>
        <w:ind w:left="180" w:firstLine="0"/>
        <w:rPr>
          <w:i w:val="1"/>
          <w:sz w:val="24"/>
          <w:szCs w:val="24"/>
        </w:rPr>
      </w:pPr>
      <w:r w:rsidDel="00000000" w:rsidR="00000000" w:rsidRPr="00000000">
        <w:rPr>
          <w:i w:val="1"/>
          <w:sz w:val="24"/>
          <w:szCs w:val="24"/>
          <w:rtl w:val="0"/>
        </w:rPr>
        <w:t xml:space="preserve">Name of Applicant:</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sz w:val="20"/>
          <w:szCs w:val="20"/>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80" w:right="0" w:firstLine="0"/>
        <w:jc w:val="left"/>
        <w:rPr>
          <w:sz w:val="24"/>
          <w:szCs w:val="24"/>
        </w:rPr>
      </w:pPr>
      <w:r w:rsidDel="00000000" w:rsidR="00000000" w:rsidRPr="00000000">
        <w:rPr>
          <w:sz w:val="24"/>
          <w:szCs w:val="24"/>
          <w:rtl w:val="0"/>
        </w:rPr>
        <w:t xml:space="preserve">1. Which AdkAction project would you like to work on? </w:t>
      </w:r>
    </w:p>
    <w:p w:rsidR="00000000" w:rsidDel="00000000" w:rsidP="00000000" w:rsidRDefault="00000000" w:rsidRPr="00000000" w14:paraId="00000007">
      <w:pPr>
        <w:spacing w:line="240" w:lineRule="auto"/>
        <w:rPr>
          <w:sz w:val="20"/>
          <w:szCs w:val="20"/>
        </w:rPr>
        <w:sectPr>
          <w:headerReference r:id="rId6" w:type="default"/>
          <w:headerReference r:id="rId7" w:type="first"/>
          <w:footerReference r:id="rId8" w:type="first"/>
          <w:pgSz w:h="15840" w:w="12240" w:orient="portrait"/>
          <w:pgMar w:bottom="990" w:top="900" w:left="720" w:right="1080" w:header="270" w:footer="360"/>
          <w:pgNumType w:start="1"/>
        </w:sectPr>
      </w:pPr>
      <w:r w:rsidDel="00000000" w:rsidR="00000000" w:rsidRPr="00000000">
        <w:rPr>
          <w:rtl w:val="0"/>
        </w:rPr>
      </w:r>
    </w:p>
    <w:p w:rsidR="00000000" w:rsidDel="00000000" w:rsidP="00000000" w:rsidRDefault="00000000" w:rsidRPr="00000000" w14:paraId="00000008">
      <w:pPr>
        <w:numPr>
          <w:ilvl w:val="0"/>
          <w:numId w:val="1"/>
        </w:numPr>
        <w:spacing w:line="240" w:lineRule="auto"/>
        <w:rPr>
          <w:sz w:val="20"/>
          <w:szCs w:val="20"/>
          <w:u w:val="none"/>
        </w:rPr>
      </w:pPr>
      <w:r w:rsidDel="00000000" w:rsidR="00000000" w:rsidRPr="00000000">
        <w:rPr>
          <w:sz w:val="20"/>
          <w:szCs w:val="20"/>
          <w:rtl w:val="0"/>
        </w:rPr>
        <w:t xml:space="preserve">Adirondack Pollinator Project</w:t>
      </w:r>
    </w:p>
    <w:p w:rsidR="00000000" w:rsidDel="00000000" w:rsidP="00000000" w:rsidRDefault="00000000" w:rsidRPr="00000000" w14:paraId="00000009">
      <w:pPr>
        <w:numPr>
          <w:ilvl w:val="0"/>
          <w:numId w:val="1"/>
        </w:numPr>
        <w:spacing w:line="240" w:lineRule="auto"/>
        <w:rPr>
          <w:sz w:val="20"/>
          <w:szCs w:val="20"/>
          <w:u w:val="none"/>
        </w:rPr>
      </w:pPr>
      <w:r w:rsidDel="00000000" w:rsidR="00000000" w:rsidRPr="00000000">
        <w:rPr>
          <w:sz w:val="20"/>
          <w:szCs w:val="20"/>
          <w:rtl w:val="0"/>
        </w:rPr>
        <w:t xml:space="preserve">Compost for Good</w:t>
      </w:r>
    </w:p>
    <w:p w:rsidR="00000000" w:rsidDel="00000000" w:rsidP="00000000" w:rsidRDefault="00000000" w:rsidRPr="00000000" w14:paraId="0000000A">
      <w:pPr>
        <w:numPr>
          <w:ilvl w:val="0"/>
          <w:numId w:val="1"/>
        </w:numPr>
        <w:spacing w:line="240" w:lineRule="auto"/>
        <w:rPr>
          <w:sz w:val="20"/>
          <w:szCs w:val="20"/>
          <w:u w:val="none"/>
        </w:rPr>
      </w:pPr>
      <w:r w:rsidDel="00000000" w:rsidR="00000000" w:rsidRPr="00000000">
        <w:rPr>
          <w:sz w:val="20"/>
          <w:szCs w:val="20"/>
          <w:rtl w:val="0"/>
        </w:rPr>
        <w:t xml:space="preserve">Broadband-for-All</w:t>
      </w:r>
    </w:p>
    <w:p w:rsidR="00000000" w:rsidDel="00000000" w:rsidP="00000000" w:rsidRDefault="00000000" w:rsidRPr="00000000" w14:paraId="0000000B">
      <w:pPr>
        <w:numPr>
          <w:ilvl w:val="0"/>
          <w:numId w:val="1"/>
        </w:numPr>
        <w:spacing w:line="240" w:lineRule="auto"/>
        <w:rPr>
          <w:sz w:val="20"/>
          <w:szCs w:val="20"/>
          <w:u w:val="none"/>
        </w:rPr>
      </w:pPr>
      <w:r w:rsidDel="00000000" w:rsidR="00000000" w:rsidRPr="00000000">
        <w:rPr>
          <w:sz w:val="20"/>
          <w:szCs w:val="20"/>
          <w:rtl w:val="0"/>
        </w:rPr>
        <w:t xml:space="preserve">Food Access (Farmacy, Fair Food Pricing)</w:t>
      </w:r>
    </w:p>
    <w:p w:rsidR="00000000" w:rsidDel="00000000" w:rsidP="00000000" w:rsidRDefault="00000000" w:rsidRPr="00000000" w14:paraId="0000000C">
      <w:pPr>
        <w:numPr>
          <w:ilvl w:val="0"/>
          <w:numId w:val="1"/>
        </w:numPr>
        <w:spacing w:line="240" w:lineRule="auto"/>
        <w:rPr>
          <w:sz w:val="20"/>
          <w:szCs w:val="20"/>
          <w:u w:val="none"/>
        </w:rPr>
      </w:pPr>
      <w:r w:rsidDel="00000000" w:rsidR="00000000" w:rsidRPr="00000000">
        <w:rPr>
          <w:sz w:val="20"/>
          <w:szCs w:val="20"/>
          <w:rtl w:val="0"/>
        </w:rPr>
        <w:t xml:space="preserve">Reducing Road Salt Pollution</w:t>
      </w:r>
    </w:p>
    <w:p w:rsidR="00000000" w:rsidDel="00000000" w:rsidP="00000000" w:rsidRDefault="00000000" w:rsidRPr="00000000" w14:paraId="0000000D">
      <w:pPr>
        <w:numPr>
          <w:ilvl w:val="0"/>
          <w:numId w:val="1"/>
        </w:numPr>
        <w:spacing w:line="240" w:lineRule="auto"/>
        <w:rPr>
          <w:sz w:val="20"/>
          <w:szCs w:val="20"/>
          <w:u w:val="none"/>
        </w:rPr>
        <w:sectPr>
          <w:type w:val="continuous"/>
          <w:pgSz w:h="15840" w:w="12240" w:orient="portrait"/>
          <w:pgMar w:bottom="792" w:top="1800" w:left="907.2" w:right="1440" w:header="270" w:footer="720"/>
          <w:cols w:equalWidth="0" w:num="2">
            <w:col w:space="720" w:w="4586.4"/>
            <w:col w:space="0" w:w="4586.4"/>
          </w:cols>
        </w:sectPr>
      </w:pPr>
      <w:r w:rsidDel="00000000" w:rsidR="00000000" w:rsidRPr="00000000">
        <w:rPr>
          <w:sz w:val="20"/>
          <w:szCs w:val="20"/>
          <w:rtl w:val="0"/>
        </w:rPr>
        <w:t xml:space="preserve">Community Arts Festivals</w:t>
      </w:r>
    </w:p>
    <w:p w:rsidR="00000000" w:rsidDel="00000000" w:rsidP="00000000" w:rsidRDefault="00000000" w:rsidRPr="00000000" w14:paraId="0000000E">
      <w:pPr>
        <w:spacing w:line="240" w:lineRule="auto"/>
        <w:ind w:firstLine="720"/>
        <w:rPr>
          <w:sz w:val="20"/>
          <w:szCs w:val="20"/>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80" w:right="0" w:firstLine="0"/>
        <w:jc w:val="left"/>
        <w:rPr>
          <w:sz w:val="24"/>
          <w:szCs w:val="24"/>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80" w:right="0" w:firstLine="0"/>
        <w:jc w:val="left"/>
        <w:rPr>
          <w:sz w:val="18"/>
          <w:szCs w:val="18"/>
        </w:rPr>
      </w:pPr>
      <w:r w:rsidDel="00000000" w:rsidR="00000000" w:rsidRPr="00000000">
        <w:rPr>
          <w:sz w:val="24"/>
          <w:szCs w:val="24"/>
          <w:rtl w:val="0"/>
        </w:rPr>
        <w:t xml:space="preserve">2. After reading about your chosen project on our website, please briefly describe your idea or approach to advancing the project, including a rough schedule of how your sub-project might proceed. </w:t>
      </w:r>
      <w:r w:rsidDel="00000000" w:rsidR="00000000" w:rsidRPr="00000000">
        <w:rPr>
          <w:sz w:val="18"/>
          <w:szCs w:val="18"/>
          <w:rtl w:val="0"/>
        </w:rPr>
        <w:t xml:space="preserve">(For example, if you were interested in the Pollinator Project you may want to work with a local institution to help them write and adopt a pollinator-friendly land maintenance policy and conduct a volunteer-led garden installation.)</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80" w:right="0" w:firstLine="0"/>
        <w:jc w:val="left"/>
        <w:rPr>
          <w:sz w:val="18"/>
          <w:szCs w:val="18"/>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80" w:right="0" w:firstLine="0"/>
        <w:jc w:val="left"/>
        <w:rPr>
          <w:sz w:val="18"/>
          <w:szCs w:val="18"/>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80" w:right="0" w:firstLine="0"/>
        <w:jc w:val="left"/>
        <w:rPr>
          <w:sz w:val="18"/>
          <w:szCs w:val="18"/>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80" w:right="0" w:firstLine="0"/>
        <w:jc w:val="left"/>
        <w:rPr>
          <w:sz w:val="24"/>
          <w:szCs w:val="24"/>
        </w:rPr>
      </w:pPr>
      <w:r w:rsidDel="00000000" w:rsidR="00000000" w:rsidRPr="00000000">
        <w:rPr>
          <w:sz w:val="24"/>
          <w:szCs w:val="24"/>
          <w:rtl w:val="0"/>
        </w:rPr>
        <w:t xml:space="preserve">3. What are the primary goals of the sub-project, and how can success be measured?</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80" w:right="0" w:firstLine="0"/>
        <w:jc w:val="left"/>
        <w:rPr>
          <w:sz w:val="24"/>
          <w:szCs w:val="24"/>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80" w:right="0" w:firstLine="0"/>
        <w:jc w:val="left"/>
        <w:rPr>
          <w:sz w:val="24"/>
          <w:szCs w:val="24"/>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80" w:right="0" w:firstLine="0"/>
        <w:jc w:val="left"/>
        <w:rPr>
          <w:sz w:val="24"/>
          <w:szCs w:val="24"/>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80" w:right="0" w:firstLine="0"/>
        <w:jc w:val="left"/>
        <w:rPr>
          <w:sz w:val="24"/>
          <w:szCs w:val="24"/>
        </w:rPr>
      </w:pPr>
      <w:r w:rsidDel="00000000" w:rsidR="00000000" w:rsidRPr="00000000">
        <w:rPr>
          <w:sz w:val="24"/>
          <w:szCs w:val="24"/>
          <w:rtl w:val="0"/>
        </w:rPr>
        <w:t xml:space="preserve">4. How will Adirondack communities benefit? Who will benefit most?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80" w:right="0" w:firstLine="0"/>
        <w:jc w:val="left"/>
        <w:rPr>
          <w:sz w:val="24"/>
          <w:szCs w:val="24"/>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80" w:right="0" w:firstLine="0"/>
        <w:jc w:val="left"/>
        <w:rPr>
          <w:sz w:val="24"/>
          <w:szCs w:val="24"/>
        </w:rPr>
      </w:pPr>
      <w:r w:rsidDel="00000000" w:rsidR="00000000" w:rsidRPr="00000000">
        <w:rPr>
          <w:sz w:val="24"/>
          <w:szCs w:val="24"/>
          <w:rtl w:val="0"/>
        </w:rPr>
        <w:t xml:space="preserve">5. AdkAction Mission Criteria: How does the sub-project work towards our mission to address unmet needs, promote vibrant communities, and preserve the character of the Adirondacks?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80" w:right="0" w:firstLine="0"/>
        <w:jc w:val="left"/>
        <w:rPr>
          <w:sz w:val="24"/>
          <w:szCs w:val="24"/>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80" w:right="0" w:firstLine="0"/>
        <w:jc w:val="left"/>
        <w:rPr>
          <w:sz w:val="24"/>
          <w:szCs w:val="24"/>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1">
      <w:pPr>
        <w:ind w:left="0" w:firstLine="0"/>
        <w:rPr/>
      </w:pPr>
      <w:r w:rsidDel="00000000" w:rsidR="00000000" w:rsidRPr="00000000">
        <w:rPr>
          <w:rtl w:val="0"/>
        </w:rPr>
      </w:r>
    </w:p>
    <w:sectPr>
      <w:type w:val="continuous"/>
      <w:pgSz w:h="15840" w:w="12240" w:orient="portrait"/>
      <w:pgMar w:bottom="180" w:top="1800" w:left="900" w:right="1440" w:header="27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Montserrat Medium">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ind w:left="0" w:firstLine="0"/>
      <w:jc w:val="right"/>
      <w:rPr>
        <w:rFonts w:ascii="Playfair Display" w:cs="Playfair Display" w:eastAsia="Playfair Display" w:hAnsi="Playfair Display"/>
        <w:b w:val="1"/>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340816</wp:posOffset>
          </wp:positionH>
          <wp:positionV relativeFrom="paragraph">
            <wp:posOffset>19051</wp:posOffset>
          </wp:positionV>
          <wp:extent cx="1619018" cy="985838"/>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619018" cy="985838"/>
                  </a:xfrm>
                  <a:prstGeom prst="rect"/>
                  <a:ln/>
                </pic:spPr>
              </pic:pic>
            </a:graphicData>
          </a:graphic>
        </wp:anchor>
      </w:drawing>
    </w:r>
  </w:p>
  <w:p w:rsidR="00000000" w:rsidDel="00000000" w:rsidP="00000000" w:rsidRDefault="00000000" w:rsidRPr="00000000" w14:paraId="00000024">
    <w:pPr>
      <w:ind w:left="0" w:firstLine="0"/>
      <w:jc w:val="right"/>
      <w:rPr>
        <w:rFonts w:ascii="Playfair Display" w:cs="Playfair Display" w:eastAsia="Playfair Display" w:hAnsi="Playfair Display"/>
        <w:b w:val="1"/>
        <w:sz w:val="40"/>
        <w:szCs w:val="40"/>
      </w:rPr>
    </w:pPr>
    <w:r w:rsidDel="00000000" w:rsidR="00000000" w:rsidRPr="00000000">
      <w:rPr>
        <w:rFonts w:ascii="Playfair Display" w:cs="Playfair Display" w:eastAsia="Playfair Display" w:hAnsi="Playfair Display"/>
        <w:b w:val="1"/>
        <w:sz w:val="40"/>
        <w:szCs w:val="40"/>
        <w:rtl w:val="0"/>
      </w:rPr>
      <w:t xml:space="preserve">Tom Boothe </w:t>
    </w:r>
  </w:p>
  <w:p w:rsidR="00000000" w:rsidDel="00000000" w:rsidP="00000000" w:rsidRDefault="00000000" w:rsidRPr="00000000" w14:paraId="00000025">
    <w:pPr>
      <w:ind w:left="360" w:firstLine="0"/>
      <w:jc w:val="right"/>
      <w:rPr>
        <w:rFonts w:ascii="Playfair Display" w:cs="Playfair Display" w:eastAsia="Playfair Display" w:hAnsi="Playfair Display"/>
        <w:b w:val="1"/>
        <w:sz w:val="40"/>
        <w:szCs w:val="40"/>
      </w:rPr>
    </w:pPr>
    <w:r w:rsidDel="00000000" w:rsidR="00000000" w:rsidRPr="00000000">
      <w:rPr>
        <w:rFonts w:ascii="Playfair Display" w:cs="Playfair Display" w:eastAsia="Playfair Display" w:hAnsi="Playfair Display"/>
        <w:b w:val="1"/>
        <w:sz w:val="40"/>
        <w:szCs w:val="40"/>
        <w:rtl w:val="0"/>
      </w:rPr>
      <w:t xml:space="preserve">Adirondack Internship</w:t>
    </w:r>
  </w:p>
  <w:p w:rsidR="00000000" w:rsidDel="00000000" w:rsidP="00000000" w:rsidRDefault="00000000" w:rsidRPr="00000000" w14:paraId="00000026">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sz w:val="22"/>
        <w:szCs w:val="22"/>
        <w:lang w:val="en"/>
      </w:rPr>
    </w:rPrDefault>
    <w:pPrDefault>
      <w:pPr>
        <w:spacing w:line="276"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480" w:lineRule="auto"/>
      <w:ind w:left="0" w:firstLine="0"/>
    </w:pPr>
    <w:rPr>
      <w:rFonts w:ascii="Montserrat Medium" w:cs="Montserrat Medium" w:eastAsia="Montserrat Medium" w:hAnsi="Montserrat Medium"/>
      <w:sz w:val="36"/>
      <w:szCs w:val="36"/>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pPr>
    <w:rPr>
      <w:rFonts w:ascii="Playfair Display" w:cs="Playfair Display" w:eastAsia="Playfair Display" w:hAnsi="Playfair Display"/>
      <w:b w:val="1"/>
      <w:sz w:val="64"/>
      <w:szCs w:val="64"/>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11" Type="http://schemas.openxmlformats.org/officeDocument/2006/relationships/font" Target="fonts/MontserratMedium-italic.ttf"/><Relationship Id="rId10" Type="http://schemas.openxmlformats.org/officeDocument/2006/relationships/font" Target="fonts/MontserratMedium-bold.ttf"/><Relationship Id="rId12" Type="http://schemas.openxmlformats.org/officeDocument/2006/relationships/font" Target="fonts/MontserratMedium-boldItalic.ttf"/><Relationship Id="rId9" Type="http://schemas.openxmlformats.org/officeDocument/2006/relationships/font" Target="fonts/MontserratMedium-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